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Stockholm kommunfullmäktige</w:t>
      </w:r>
    </w:p>
    <w:p>
      <w:pPr>
        <w:pStyle w:val="Heading1"/>
      </w:pPr>
      <w:r>
        <w:t xml:space="preserve">Tryggare skola för HBTQI-elever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Stockholm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Diskriminering och mobbning drabbar HBTQI-elever enligt Skolverket. Stockholm behöver stärka inkluderande arbete.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Stockholm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obligatorisk HBTQI-utbildning för all skolpersonal.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tillsätta HBTQI-samordnare på alla gymnasieskolor.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nolltolerans mot hatbrott med tydliga rutiner.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samarbeta med RFSL för elevstödjande insatser.</w:t>
      </w:r>
    </w:p>
    <w:p>
      <w:pPr>
        <w:spacing w:before="360"/>
      </w:pPr>
    </w:p>
    <w:p>
      <w:r>
        <w:t xml:space="preserve">Stockholm,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Stockholm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2026-07-14T05:08:00.854Z</dcterms:created>
  <dcterms:modified xsi:type="dcterms:W3CDTF">2026-07-14T05:08:00.854Z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